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83" w:rsidRDefault="00726583" w:rsidP="00726583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val="en-US" w:eastAsia="ru-RU"/>
        </w:rPr>
      </w:pPr>
      <w:r w:rsidRPr="007F3E4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Речевое развитие</w:t>
      </w:r>
    </w:p>
    <w:tbl>
      <w:tblPr>
        <w:tblStyle w:val="a4"/>
        <w:tblW w:w="0" w:type="auto"/>
        <w:tblLook w:val="04A0"/>
      </w:tblPr>
      <w:tblGrid>
        <w:gridCol w:w="2093"/>
        <w:gridCol w:w="9461"/>
      </w:tblGrid>
      <w:tr w:rsidR="000D4BAF" w:rsidTr="000D4BAF">
        <w:tc>
          <w:tcPr>
            <w:tcW w:w="2093" w:type="dxa"/>
          </w:tcPr>
          <w:p w:rsidR="000D4BAF" w:rsidRDefault="000D4BAF" w:rsidP="000D4BAF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val="en-US"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Книжный уголок</w:t>
            </w:r>
          </w:p>
          <w:p w:rsidR="000D4BAF" w:rsidRDefault="000D4BAF" w:rsidP="000D4BAF">
            <w:pPr>
              <w:rPr>
                <w:lang w:val="en-US"/>
              </w:rPr>
            </w:pPr>
          </w:p>
        </w:tc>
        <w:tc>
          <w:tcPr>
            <w:tcW w:w="9461" w:type="dxa"/>
          </w:tcPr>
          <w:p w:rsidR="000D4BAF" w:rsidRDefault="000D4BAF" w:rsidP="000D4BAF">
            <w:pPr>
              <w:rPr>
                <w:lang w:val="en-US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Сказки: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«Колобок», «Волк и козлята», «Кот, петух и лиса», «Рукавичка»,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Басни Крылова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«Гуси-лебеди», «Лиса и заяц», «Снегурочка и лиса», К. Чуковский.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«Телефон» К. Чуко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ский, «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», «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горе»; «Доктор Айболит»</w:t>
            </w:r>
          </w:p>
        </w:tc>
      </w:tr>
      <w:tr w:rsidR="000D4BAF" w:rsidRPr="000D4BAF" w:rsidTr="000D4BAF">
        <w:tc>
          <w:tcPr>
            <w:tcW w:w="2093" w:type="dxa"/>
          </w:tcPr>
          <w:p w:rsidR="000D4BAF" w:rsidRPr="007F3E49" w:rsidRDefault="000D4BAF" w:rsidP="000D4BAF">
            <w:pPr>
              <w:spacing w:after="100" w:afterAutospacing="1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Речевой уголок</w:t>
            </w:r>
          </w:p>
          <w:p w:rsidR="000D4BAF" w:rsidRDefault="000D4BAF" w:rsidP="000D4BAF">
            <w:pPr>
              <w:rPr>
                <w:lang w:val="en-US"/>
              </w:rPr>
            </w:pPr>
          </w:p>
        </w:tc>
        <w:tc>
          <w:tcPr>
            <w:tcW w:w="9461" w:type="dxa"/>
          </w:tcPr>
          <w:p w:rsidR="000D4BAF" w:rsidRPr="000D4BAF" w:rsidRDefault="000D4BAF" w:rsidP="000D4BAF">
            <w:pPr>
              <w:spacing w:after="100" w:afterAutospacing="1"/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Мольберт,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/и: «Кто кричит, что звучит», «Четвертый лишний», игры для развития </w:t>
            </w:r>
            <w:r w:rsidRPr="000D4BAF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ы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хания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карточки артикуляционной гимнастики.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 Картотеки игр на развитие речи и слуха, для формирования правильного звукопроизн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шения, для фонематического слуха, комплекс артикуляционной гимнастики.</w:t>
            </w:r>
          </w:p>
        </w:tc>
      </w:tr>
    </w:tbl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</w:p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val="en-US" w:eastAsia="ru-RU"/>
        </w:rPr>
      </w:pPr>
      <w:r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Познавательное </w:t>
      </w:r>
      <w:r w:rsidRPr="007F3E4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развитие</w:t>
      </w:r>
    </w:p>
    <w:tbl>
      <w:tblPr>
        <w:tblStyle w:val="a4"/>
        <w:tblW w:w="0" w:type="auto"/>
        <w:tblLook w:val="04A0"/>
      </w:tblPr>
      <w:tblGrid>
        <w:gridCol w:w="2093"/>
        <w:gridCol w:w="9461"/>
      </w:tblGrid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Паспорт уголка природы. Комнатные растения: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Бальзамин,  Гибискус (к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тайский розан),  Драцена,  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Рейнекия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Традесканция,   Календарь природы, наборы карт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нок.  Инвентарь для трудовой деятельности.  Лейка, опрыскиватель, лопатка, грабли, п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лочка для рыхления, ведро маленькое, клеенки. Корзинки.  Илл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ю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страции по временам года. Наглядно-дидактические пособия: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«Овощи, фрукты»,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плакат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«Грибы и ягоды»,  «Домашние животные и птицы», «Живо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ные России»,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плакат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«Явления при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роды»,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«Дикие и  домашние животные».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Тряпочки для прот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ирания листьев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. Картины: «Времена года». Набор домашних, диких животных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плоскостные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обьемные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. Развивающие игры «Четыре сезона»,  Познавательная игра «Лото - времена года».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Пазлы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«Животные»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Д/и: «Времена года». Кормушка для птиц. Контейнер для рассады.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Д/</w:t>
            </w:r>
            <w:proofErr w:type="spellStart"/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«Как растет живое?», «Времена года. Природные  явления»,  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саду ли, в огороде»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Наборы: домашние и дикие животные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песка и воды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онтейнеры с водой и  песком Ёмкость пластмассовая прозрачная для воды, игрушки пластмассовые, резиновые,  фигурки для игр с песком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Патриотический уголок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Альбом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«Моя семья»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«Профессии».  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Сенсорный уг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артинки с изображениями простых геометрических форм, бытовых предметов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Объемные вкладыши из 5-7 элементов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оски-вкладыши (с фигурками), набор об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ъ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емных тел (кубы, цилиндры, бруски, шары, диски), мозаика (цветная, крупная), Наст/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печ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игры «Сложи узор»,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«Фигуры»,  «Чей домик», «Что такое хорошо, что такое пл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хо», «Домино», «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Доски 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Сегена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»,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Сортитры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«Вкладыши»,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пирамиды, разн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цветные стаканчики, шнуровки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</w:t>
            </w:r>
          </w:p>
        </w:tc>
      </w:tr>
    </w:tbl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</w:p>
    <w:p w:rsidR="00AB5E3B" w:rsidRPr="000D4BAF" w:rsidRDefault="00AB5E3B" w:rsidP="00AB5E3B">
      <w:pPr>
        <w:jc w:val="center"/>
      </w:pPr>
      <w:r w:rsidRPr="007F3E4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Социально-коммуникативное развитие</w:t>
      </w:r>
    </w:p>
    <w:tbl>
      <w:tblPr>
        <w:tblStyle w:val="a4"/>
        <w:tblW w:w="0" w:type="auto"/>
        <w:tblLook w:val="04A0"/>
      </w:tblPr>
      <w:tblGrid>
        <w:gridCol w:w="2093"/>
        <w:gridCol w:w="9461"/>
      </w:tblGrid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безопа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акет дороги,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/и: «Профессии»,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плакат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«Правила дорожного движения», «Угадай транспорт», «Светофор», «Азбука дорожных знаков».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Наборы: «Знаки»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«Средства пер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дв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жения – транспорт», полосатый жезл, автомобиль Пожарный.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уедин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М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ягкие пуфики,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стол,  клубочки,  куклы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кот, игра «Театр настроений», трафареты ж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вотных.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Игровая зона  сюжетно-ролевых игр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Сюжетно-ролевая игра «Семья». Коляска, кровать, постельные принадлежности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куклы.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Набор столовых приборов: (ложки, вилки, нож, половник, шумовка, лопаточка и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т.д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).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Набор чайной посуды (блюдца, чашки, чайник). 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 Набор фруктов, овощей. Корзинки (большие 3шт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, кастрюля. Утюг.  Сковорода дет, чайник дет, газовая плита,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Сюжетно-ролевая игра «Парикмахерская».  Набор (расческа, зеркало, резинки, ободок, бигуди, фены.).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 xml:space="preserve">Сюжетно-ролевая игра «Магазин». Сумочки, корзинка детская.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Сюжетно-ролевая игра «Больница»: укол, пузырьки, градусник, грелка, молоточек.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Сюжетно-ролевая игра: «Мастерская». Напольный строительный материал (Дер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вянные  кубики). Конструктор крупный, железная дорога. Пластмассовые кубики Транспортные игрушки (машины,  мотоцикл). Каска, набор инструментов «Ма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тер».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</w:p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7F3E4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lastRenderedPageBreak/>
        <w:t>Художественно-эстетическое развитие</w:t>
      </w:r>
    </w:p>
    <w:tbl>
      <w:tblPr>
        <w:tblStyle w:val="a4"/>
        <w:tblW w:w="0" w:type="auto"/>
        <w:tblLook w:val="04A0"/>
      </w:tblPr>
      <w:tblGrid>
        <w:gridCol w:w="2093"/>
        <w:gridCol w:w="9461"/>
      </w:tblGrid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изобраз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тельной деятел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ь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Игрушка художника.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Наборы цветных карандашей (6 цветов), восковые мелки (6 цветов), гуашь, пластилин (6 цветов), кисти, ёмкости для промывания ворса кисти от краски, са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фетки, клеёнки для аппликации, альбомы для рисования, доски для лепки,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клей-карандаш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подносы для форм и обрезков бумаги, пальчиковые краски, штампы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тычки, ватные п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лочки</w:t>
            </w:r>
            <w:proofErr w:type="gramEnd"/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констру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Набор строительного материала, имеющего основные детали (кубики, кирпичики). Набор строительных инструментов Конструкторы разных размеров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  <w:t> Мозаики разных форм и разме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ров.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 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Пособие: «Музыкальные инструменты», Магнитофон с С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D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дисками.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br/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Музыкальные инструменты: металлофон, </w:t>
            </w:r>
            <w:proofErr w:type="spell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саксафон</w:t>
            </w:r>
            <w:proofErr w:type="spell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рояль, синтезатор,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ложки деревя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ные, бубен,  погремушки,  колокольчик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и, дудочки</w:t>
            </w:r>
            <w:proofErr w:type="gramEnd"/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театрал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зации 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Н/и: «Сказки», ширма, пальчиковый театр (вязанный), маски, настольный театр,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кону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ный театр</w:t>
            </w:r>
            <w:proofErr w:type="gram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ластилиновый театр, теневой театр.</w:t>
            </w:r>
          </w:p>
        </w:tc>
      </w:tr>
      <w:tr w:rsidR="00AB5E3B" w:rsidRPr="000D4BAF" w:rsidTr="00E30907">
        <w:tc>
          <w:tcPr>
            <w:tcW w:w="2093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Уголок ряженья</w:t>
            </w:r>
          </w:p>
        </w:tc>
        <w:tc>
          <w:tcPr>
            <w:tcW w:w="9461" w:type="dxa"/>
            <w:vAlign w:val="center"/>
          </w:tcPr>
          <w:p w:rsidR="00AB5E3B" w:rsidRPr="007F3E49" w:rsidRDefault="00AB5E3B" w:rsidP="00E30907">
            <w:pP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Костюмы: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клоуна. </w:t>
            </w: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М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ышки, 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продавец, 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повар,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 кукольная одежда, разноцветные платки, украшения для девочек, шапочка ежика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К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ороны, волшебные палочки.</w:t>
            </w:r>
          </w:p>
        </w:tc>
      </w:tr>
    </w:tbl>
    <w:p w:rsidR="00AB5E3B" w:rsidRDefault="00AB5E3B" w:rsidP="00AB5E3B">
      <w:pPr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</w:p>
    <w:p w:rsidR="00AB5E3B" w:rsidRDefault="00AB5E3B" w:rsidP="00AB5E3B">
      <w:pPr>
        <w:jc w:val="center"/>
      </w:pPr>
      <w:r w:rsidRPr="007F3E4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Физическое развитие</w:t>
      </w:r>
    </w:p>
    <w:tbl>
      <w:tblPr>
        <w:tblW w:w="1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9355"/>
      </w:tblGrid>
      <w:tr w:rsidR="00AB5E3B" w:rsidRPr="007F3E49" w:rsidTr="00AB5E3B">
        <w:trPr>
          <w:trHeight w:val="600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5E3B" w:rsidRPr="007F3E49" w:rsidRDefault="00AB5E3B" w:rsidP="00E3090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Физкультурный уголок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5E3B" w:rsidRPr="007F3E49" w:rsidRDefault="00AB5E3B" w:rsidP="00AB5E3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Мячи большие и маленькие,  </w:t>
            </w:r>
            <w:proofErr w:type="gram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кольце</w:t>
            </w:r>
            <w:proofErr w:type="gram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бросс</w:t>
            </w:r>
            <w:proofErr w:type="spellEnd"/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,  скакалки,  ке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гли,</w:t>
            </w:r>
            <w:r w:rsidRPr="007F3E4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цветные флажки,  маски для подвижных игр, обручи;  </w:t>
            </w:r>
          </w:p>
        </w:tc>
      </w:tr>
    </w:tbl>
    <w:p w:rsidR="00AB5E3B" w:rsidRPr="000D4BAF" w:rsidRDefault="00AB5E3B"/>
    <w:sectPr w:rsidR="00AB5E3B" w:rsidRPr="000D4BAF" w:rsidSect="007F3E4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F3E49"/>
    <w:rsid w:val="000712E3"/>
    <w:rsid w:val="000D4BAF"/>
    <w:rsid w:val="001956B1"/>
    <w:rsid w:val="00325102"/>
    <w:rsid w:val="00445ED4"/>
    <w:rsid w:val="005F66DB"/>
    <w:rsid w:val="00726583"/>
    <w:rsid w:val="007F3E49"/>
    <w:rsid w:val="00A00897"/>
    <w:rsid w:val="00AB5E3B"/>
    <w:rsid w:val="00D968EF"/>
    <w:rsid w:val="00E06867"/>
    <w:rsid w:val="00F2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D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9</cp:revision>
  <dcterms:created xsi:type="dcterms:W3CDTF">2025-03-12T10:16:00Z</dcterms:created>
  <dcterms:modified xsi:type="dcterms:W3CDTF">2025-03-13T05:13:00Z</dcterms:modified>
</cp:coreProperties>
</file>